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bookmarkStart w:id="0" w:name="_GoBack"/>
      <w:bookmarkEnd w:id="0"/>
    </w:p>
    <w:p w14:paraId="15B18695" w14:textId="77641361" w:rsidR="00892FBB" w:rsidRDefault="00892FBB" w:rsidP="00892FB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 w:rsidRPr="00892FBB">
        <w:rPr>
          <w:rFonts w:ascii="Century Gothic" w:hAnsi="Century Gothic"/>
          <w:b/>
        </w:rPr>
        <w:t>Sample ABT Meeting Agenda</w:t>
      </w:r>
    </w:p>
    <w:p w14:paraId="55485FF5" w14:textId="1B7C7E6B" w:rsidR="00892FBB" w:rsidRPr="00892FBB" w:rsidRDefault="00892FBB" w:rsidP="00892FB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Date, Time and Location</w:t>
      </w:r>
    </w:p>
    <w:p w14:paraId="5684BC33" w14:textId="4A53891C" w:rsid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Roll call</w:t>
      </w:r>
    </w:p>
    <w:p w14:paraId="01BFD117" w14:textId="77777777" w:rsidR="00892FBB" w:rsidRPr="00892FBB" w:rsidRDefault="00892FBB" w:rsidP="00892FBB">
      <w:pPr>
        <w:pStyle w:val="NormalWeb"/>
        <w:spacing w:before="0" w:beforeAutospacing="0" w:after="0" w:afterAutospacing="0"/>
        <w:ind w:left="720"/>
        <w:rPr>
          <w:rFonts w:ascii="Century Gothic" w:hAnsi="Century Gothic"/>
        </w:rPr>
      </w:pPr>
    </w:p>
    <w:p w14:paraId="3D34C19A" w14:textId="36C511A2" w:rsid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Minutes from the last meeting</w:t>
      </w:r>
    </w:p>
    <w:p w14:paraId="4142491F" w14:textId="77777777" w:rsidR="00892FBB" w:rsidRP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2BF3F8F4" w14:textId="75F89371" w:rsidR="00892FBB" w:rsidRP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Ofﬁcer Reports</w:t>
      </w:r>
    </w:p>
    <w:p w14:paraId="49A27178" w14:textId="1CDCE656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ABT President:</w:t>
      </w:r>
    </w:p>
    <w:p w14:paraId="77E7F7B6" w14:textId="30A18621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Update on ABT since last meeting</w:t>
      </w:r>
    </w:p>
    <w:p w14:paraId="1916E945" w14:textId="5C9B532C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Update on communication with the local Alumni Chapter (if applicable)</w:t>
      </w:r>
    </w:p>
    <w:p w14:paraId="1EFFC220" w14:textId="28A55ACD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on any projects or events</w:t>
      </w:r>
    </w:p>
    <w:p w14:paraId="54C71918" w14:textId="570EC0E2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Announcement of upcoming ABT meetings</w:t>
      </w:r>
    </w:p>
    <w:p w14:paraId="751A94E4" w14:textId="0A449F13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ABT Secretary:</w:t>
      </w:r>
    </w:p>
    <w:p w14:paraId="17CEF39B" w14:textId="7F7174D6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Update on ABT communication</w:t>
      </w:r>
    </w:p>
    <w:p w14:paraId="79642FB0" w14:textId="26C39BAF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Financial Advisor:</w:t>
      </w:r>
    </w:p>
    <w:p w14:paraId="13865D7D" w14:textId="4D3198C2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Expected ﬁnancial plan for the next month</w:t>
      </w:r>
    </w:p>
    <w:p w14:paraId="24BD4347" w14:textId="5A7B57B3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 xml:space="preserve">Financial plans for the summer </w:t>
      </w:r>
    </w:p>
    <w:p w14:paraId="7BD3E47B" w14:textId="6FCCD3B1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Update on ﬁling the tax forms</w:t>
      </w:r>
    </w:p>
    <w:p w14:paraId="0AF149DC" w14:textId="01DB9747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Update on ﬁnancial records</w:t>
      </w:r>
    </w:p>
    <w:p w14:paraId="65AB241B" w14:textId="6A2BC044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“BB”:</w:t>
      </w:r>
    </w:p>
    <w:p w14:paraId="71951FEF" w14:textId="423D194F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Update on any communication with the Headquarters Ofﬁce</w:t>
      </w:r>
    </w:p>
    <w:p w14:paraId="00F704E5" w14:textId="3427CA95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on upcoming regional and/or international events</w:t>
      </w:r>
    </w:p>
    <w:p w14:paraId="1F837C6A" w14:textId="122B44A9" w:rsid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Updates on engagement with alumni and the undergraduate organization</w:t>
      </w:r>
    </w:p>
    <w:p w14:paraId="20F5AFDC" w14:textId="77777777" w:rsidR="00892FBB" w:rsidRPr="00892FBB" w:rsidRDefault="00892FBB" w:rsidP="00892FBB">
      <w:pPr>
        <w:pStyle w:val="NormalWeb"/>
        <w:spacing w:before="0" w:beforeAutospacing="0" w:after="0" w:afterAutospacing="0"/>
        <w:ind w:left="1980"/>
        <w:rPr>
          <w:rFonts w:ascii="Century Gothic" w:hAnsi="Century Gothic"/>
        </w:rPr>
      </w:pPr>
    </w:p>
    <w:p w14:paraId="1248C355" w14:textId="2EF976D0" w:rsid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Member Education Advisor</w:t>
      </w:r>
    </w:p>
    <w:p w14:paraId="334FE820" w14:textId="77777777" w:rsidR="00892FBB" w:rsidRPr="00892FBB" w:rsidRDefault="00892FBB" w:rsidP="00892FBB">
      <w:pPr>
        <w:pStyle w:val="NormalWeb"/>
        <w:spacing w:before="0" w:beforeAutospacing="0" w:after="0" w:afterAutospacing="0"/>
        <w:ind w:left="360"/>
        <w:rPr>
          <w:rFonts w:ascii="Century Gothic" w:hAnsi="Century Gothic"/>
        </w:rPr>
      </w:pPr>
    </w:p>
    <w:p w14:paraId="0C7A442C" w14:textId="1B88CFF2" w:rsid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Recruitment Advisor</w:t>
      </w:r>
    </w:p>
    <w:p w14:paraId="6A9E32DB" w14:textId="77777777" w:rsidR="00892FBB" w:rsidRP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4996153A" w14:textId="1300670A" w:rsid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Alumni Relations Advisor</w:t>
      </w:r>
    </w:p>
    <w:p w14:paraId="117D9678" w14:textId="77777777" w:rsidR="00892FBB" w:rsidRP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1DB92DF9" w14:textId="62062C02" w:rsid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Risk Management Advisor</w:t>
      </w:r>
    </w:p>
    <w:p w14:paraId="21D33D78" w14:textId="77777777" w:rsidR="00892FBB" w:rsidRP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642567CC" w14:textId="090D3C79" w:rsid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Ritual Advisor</w:t>
      </w:r>
    </w:p>
    <w:p w14:paraId="5BD5A939" w14:textId="77777777" w:rsidR="00892FBB" w:rsidRP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0A0BDBBF" w14:textId="0C6841B3" w:rsid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Scholarship Advisor</w:t>
      </w:r>
    </w:p>
    <w:p w14:paraId="16AD1B0A" w14:textId="77777777" w:rsidR="00892FBB" w:rsidRP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03F9F1AD" w14:textId="4C25EC83" w:rsid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 xml:space="preserve">Report from the Philanthropy &amp; Service Advisor </w:t>
      </w:r>
    </w:p>
    <w:p w14:paraId="65EF4E34" w14:textId="77777777" w:rsidR="00892FBB" w:rsidRP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26B931AC" w14:textId="5EF2427F" w:rsidR="00892FBB" w:rsidRP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chapter /colony</w:t>
      </w:r>
      <w:r>
        <w:rPr>
          <w:rFonts w:ascii="Century Gothic" w:hAnsi="Century Gothic"/>
        </w:rPr>
        <w:t xml:space="preserve"> </w:t>
      </w:r>
      <w:r w:rsidRPr="00892FBB">
        <w:rPr>
          <w:rFonts w:ascii="Century Gothic" w:hAnsi="Century Gothic"/>
        </w:rPr>
        <w:t>“A”:</w:t>
      </w:r>
    </w:p>
    <w:p w14:paraId="29B35353" w14:textId="00B1FC85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State of the chapter/colony</w:t>
      </w:r>
    </w:p>
    <w:p w14:paraId="5F9067B3" w14:textId="5F1A6718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Scholastic Report</w:t>
      </w:r>
    </w:p>
    <w:p w14:paraId="5B0F7FDC" w14:textId="4A9FFE95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lastRenderedPageBreak/>
        <w:t>Recruitment/New Member Education</w:t>
      </w:r>
    </w:p>
    <w:p w14:paraId="7CA9076A" w14:textId="532E8062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 xml:space="preserve">Preparation for the </w:t>
      </w:r>
      <w:r>
        <w:rPr>
          <w:rFonts w:ascii="Century Gothic" w:hAnsi="Century Gothic"/>
        </w:rPr>
        <w:t>VBC Coach</w:t>
      </w:r>
      <w:r w:rsidRPr="00892FBB">
        <w:rPr>
          <w:rFonts w:ascii="Century Gothic" w:hAnsi="Century Gothic"/>
        </w:rPr>
        <w:t xml:space="preserve"> visit (if applicable)</w:t>
      </w:r>
    </w:p>
    <w:p w14:paraId="7B8E6E4E" w14:textId="3D3D6C46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Review the chapter/colony’s visitation report (if applicable)</w:t>
      </w:r>
    </w:p>
    <w:p w14:paraId="222AAFD5" w14:textId="4A9ED4B9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Condition of housing facility</w:t>
      </w:r>
      <w:r>
        <w:rPr>
          <w:rFonts w:ascii="Century Gothic" w:hAnsi="Century Gothic"/>
        </w:rPr>
        <w:t xml:space="preserve"> (if applicable)</w:t>
      </w:r>
    </w:p>
    <w:p w14:paraId="5AA83DD8" w14:textId="1A8F7B7A" w:rsidR="00892FBB" w:rsidRPr="00892FBB" w:rsidRDefault="00892FBB" w:rsidP="00892FBB">
      <w:pPr>
        <w:pStyle w:val="NormalWeb"/>
        <w:numPr>
          <w:ilvl w:val="2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Philanthropy and community service</w:t>
      </w:r>
    </w:p>
    <w:p w14:paraId="03595B8B" w14:textId="599791F1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Changes in the chapter/colony bylaws</w:t>
      </w:r>
    </w:p>
    <w:p w14:paraId="16198F55" w14:textId="6F430700" w:rsid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Upcoming chapter/colony events</w:t>
      </w:r>
    </w:p>
    <w:p w14:paraId="79707E63" w14:textId="77777777" w:rsidR="00892FBB" w:rsidRP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6D9C6D51" w14:textId="0686D96A" w:rsidR="00892FBB" w:rsidRP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Report from the Chapter/colony “D”:</w:t>
      </w:r>
    </w:p>
    <w:p w14:paraId="251ABA88" w14:textId="312DF601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Checkbook balance</w:t>
      </w:r>
    </w:p>
    <w:p w14:paraId="0D72C1DC" w14:textId="696453EF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Accounts receivable status</w:t>
      </w:r>
    </w:p>
    <w:p w14:paraId="0683CF38" w14:textId="207B757B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List of delinquent members, their status, and steps that have been taken to collect the delinquent debts</w:t>
      </w:r>
    </w:p>
    <w:p w14:paraId="09B156F6" w14:textId="2890228B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Accounts payable balance (to Delta Chi and otherwise)</w:t>
      </w:r>
    </w:p>
    <w:p w14:paraId="7361D702" w14:textId="6BAD91AD" w:rsid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Financial plan for the next month and a budget review</w:t>
      </w:r>
    </w:p>
    <w:p w14:paraId="7CBA8178" w14:textId="77777777" w:rsidR="00892FBB" w:rsidRP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0B82580C" w14:textId="2436C36F" w:rsidR="00892FBB" w:rsidRP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Old Business:</w:t>
      </w:r>
    </w:p>
    <w:p w14:paraId="227882A0" w14:textId="2210E61E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Amendments to ABT or chapter by-laws</w:t>
      </w:r>
    </w:p>
    <w:p w14:paraId="04380BCC" w14:textId="1A05E0E4" w:rsid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 xml:space="preserve">Election of new ABT ofﬁcers (when necessary) </w:t>
      </w:r>
    </w:p>
    <w:p w14:paraId="6E914DE3" w14:textId="77777777" w:rsidR="00892FBB" w:rsidRP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75293226" w14:textId="3FD0C227" w:rsidR="00892FBB" w:rsidRP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New Business:</w:t>
      </w:r>
    </w:p>
    <w:p w14:paraId="4875DFFA" w14:textId="13CB30C4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Vote on members to be inactivated</w:t>
      </w:r>
    </w:p>
    <w:p w14:paraId="6D1E638B" w14:textId="15EFF969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Vote on members to be put on probation</w:t>
      </w:r>
    </w:p>
    <w:p w14:paraId="41DDB0A6" w14:textId="75D83EA3" w:rsidR="00892FBB" w:rsidRP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Action concerning accounts receivable</w:t>
      </w:r>
    </w:p>
    <w:p w14:paraId="50EA5C57" w14:textId="5765ED1B" w:rsid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Conﬁrm time and place of next month’s meeting</w:t>
      </w:r>
    </w:p>
    <w:p w14:paraId="7C461785" w14:textId="77777777" w:rsid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651EC8D4" w14:textId="2D0917FF" w:rsidR="00892FBB" w:rsidRPr="00892FB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Miscellaneous and Announcements</w:t>
      </w:r>
    </w:p>
    <w:p w14:paraId="690B4CC6" w14:textId="77360206" w:rsidR="00892FBB" w:rsidRDefault="00892FBB" w:rsidP="00892FBB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News of alumni that the “E” may submit to the Delta Chi Quarterl</w:t>
      </w:r>
      <w:r>
        <w:rPr>
          <w:rFonts w:ascii="Century Gothic" w:hAnsi="Century Gothic"/>
        </w:rPr>
        <w:t>y</w:t>
      </w:r>
    </w:p>
    <w:p w14:paraId="6DF8A879" w14:textId="77777777" w:rsidR="00892FBB" w:rsidRPr="00892FBB" w:rsidRDefault="00892FBB" w:rsidP="00892FB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389EFB49" w14:textId="5699DBBD" w:rsidR="006B4296" w:rsidRPr="003C573B" w:rsidRDefault="00892FBB" w:rsidP="00892FBB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entury Gothic" w:hAnsi="Century Gothic"/>
        </w:rPr>
      </w:pPr>
      <w:r w:rsidRPr="00892FBB">
        <w:rPr>
          <w:rFonts w:ascii="Century Gothic" w:hAnsi="Century Gothic"/>
        </w:rPr>
        <w:t>Adjournment</w:t>
      </w:r>
    </w:p>
    <w:sectPr w:rsidR="006B4296" w:rsidRPr="003C573B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9B98" w14:textId="77777777" w:rsidR="00121FC7" w:rsidRDefault="00121FC7" w:rsidP="003C573B">
      <w:r>
        <w:separator/>
      </w:r>
    </w:p>
  </w:endnote>
  <w:endnote w:type="continuationSeparator" w:id="0">
    <w:p w14:paraId="3DC9B539" w14:textId="77777777" w:rsidR="00121FC7" w:rsidRDefault="00121FC7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EACC" w14:textId="77777777" w:rsidR="00121FC7" w:rsidRDefault="00121FC7" w:rsidP="003C573B">
      <w:r>
        <w:separator/>
      </w:r>
    </w:p>
  </w:footnote>
  <w:footnote w:type="continuationSeparator" w:id="0">
    <w:p w14:paraId="4E74120C" w14:textId="77777777" w:rsidR="00121FC7" w:rsidRDefault="00121FC7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678F1385"/>
    <w:multiLevelType w:val="hybridMultilevel"/>
    <w:tmpl w:val="130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4"/>
  </w:num>
  <w:num w:numId="5">
    <w:abstractNumId w:val="6"/>
  </w:num>
  <w:num w:numId="6">
    <w:abstractNumId w:val="20"/>
  </w:num>
  <w:num w:numId="7">
    <w:abstractNumId w:val="23"/>
  </w:num>
  <w:num w:numId="8">
    <w:abstractNumId w:val="13"/>
  </w:num>
  <w:num w:numId="9">
    <w:abstractNumId w:val="1"/>
  </w:num>
  <w:num w:numId="10">
    <w:abstractNumId w:val="21"/>
  </w:num>
  <w:num w:numId="11">
    <w:abstractNumId w:val="11"/>
  </w:num>
  <w:num w:numId="12">
    <w:abstractNumId w:val="19"/>
  </w:num>
  <w:num w:numId="13">
    <w:abstractNumId w:val="2"/>
  </w:num>
  <w:num w:numId="14">
    <w:abstractNumId w:val="3"/>
  </w:num>
  <w:num w:numId="15">
    <w:abstractNumId w:val="14"/>
  </w:num>
  <w:num w:numId="16">
    <w:abstractNumId w:val="0"/>
  </w:num>
  <w:num w:numId="17">
    <w:abstractNumId w:val="18"/>
  </w:num>
  <w:num w:numId="18">
    <w:abstractNumId w:val="7"/>
  </w:num>
  <w:num w:numId="19">
    <w:abstractNumId w:val="10"/>
  </w:num>
  <w:num w:numId="20">
    <w:abstractNumId w:val="16"/>
  </w:num>
  <w:num w:numId="21">
    <w:abstractNumId w:val="5"/>
  </w:num>
  <w:num w:numId="22">
    <w:abstractNumId w:val="9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D13F4"/>
    <w:rsid w:val="00121FC7"/>
    <w:rsid w:val="003C573B"/>
    <w:rsid w:val="0050775D"/>
    <w:rsid w:val="005A1B44"/>
    <w:rsid w:val="005B310C"/>
    <w:rsid w:val="006041EC"/>
    <w:rsid w:val="00765F41"/>
    <w:rsid w:val="00892FBB"/>
    <w:rsid w:val="008C2969"/>
    <w:rsid w:val="008C2AE2"/>
    <w:rsid w:val="008E7A5D"/>
    <w:rsid w:val="00A6663B"/>
    <w:rsid w:val="00B968AD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paragraph" w:styleId="ListParagraph">
    <w:name w:val="List Paragraph"/>
    <w:basedOn w:val="Normal"/>
    <w:uiPriority w:val="34"/>
    <w:qFormat/>
    <w:rsid w:val="0089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2</cp:revision>
  <dcterms:created xsi:type="dcterms:W3CDTF">2019-10-10T14:10:00Z</dcterms:created>
  <dcterms:modified xsi:type="dcterms:W3CDTF">2019-10-10T14:10:00Z</dcterms:modified>
</cp:coreProperties>
</file>